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>Департамент образования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>Вологодской области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 xml:space="preserve">Автономное образовательное 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>учреждение Вологодской области дополнительного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 xml:space="preserve">профессионального образования 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(повышения квалификации) специалистов 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 xml:space="preserve">«ВОЛОГОДСКИЙ ИНСТИТУТ 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>РАЗВИТИЯ ОБРАЗОВАНИЯ»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 xml:space="preserve">Козленская ул., 57, г.Вологда, 160011 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>Телефон/факс (8172) 75-84-00</w:t>
      </w:r>
    </w:p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  <w:t>Е</w:t>
      </w:r>
      <w:r>
        <w:rPr>
          <w:rFonts w:ascii="Times New Roman" w:hAnsi="Times New Roman"/>
          <w:lang w:val="en-US"/>
        </w:rPr>
        <w:t xml:space="preserve">-mail: </w:t>
      </w:r>
      <w:hyperlink r:id="rId2">
        <w:r>
          <w:rPr>
            <w:rStyle w:val="style19"/>
            <w:rFonts w:ascii="Times New Roman" w:hAnsi="Times New Roman"/>
            <w:lang w:val="en-US"/>
          </w:rPr>
          <w:t>iro-vologda@yandex.ru</w:t>
        </w:r>
      </w:hyperlink>
    </w:p>
    <w:tbl>
      <w:tblPr>
        <w:tblBorders>
          <w:bottom w:color="00000A" w:space="0" w:sz="4" w:val="single"/>
        </w:tblBorders>
        <w:jc w:val="left"/>
        <w:tblInd w:type="dxa" w:w="177"/>
      </w:tblPr>
      <w:tblGrid>
        <w:gridCol w:w="1827"/>
        <w:gridCol w:w="2273"/>
        <w:gridCol w:w="3078"/>
      </w:tblGrid>
      <w:tr>
        <w:trPr>
          <w:trHeight w:hRule="atLeast" w:val="356"/>
          <w:cantSplit w:val="on"/>
        </w:trPr>
        <w:tc>
          <w:tcPr>
            <w:tcBorders>
              <w:bottom w:color="00000A" w:space="0" w:sz="4" w:val="single"/>
            </w:tcBorders>
            <w:gridSpan w:val="2"/>
            <w:shd w:fill="auto"/>
            <w:tcW w:type="dxa" w:w="182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rFonts w:ascii="Times New Roman" w:hAnsi="Times New Roman"/>
              </w:rPr>
              <w:t>31.03.2015</w:t>
            </w:r>
          </w:p>
        </w:tc>
        <w:tc>
          <w:tcPr>
            <w:tcBorders/>
            <w:shd w:fill="auto"/>
            <w:tcW w:type="dxa" w:w="227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Borders>
              <w:bottom w:color="00000A" w:space="0" w:sz="4" w:val="single"/>
            </w:tcBorders>
            <w:shd w:fill="auto"/>
            <w:tcW w:type="dxa" w:w="307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rFonts w:ascii="Times New Roman" w:hAnsi="Times New Roman"/>
              </w:rPr>
              <w:t>1-11/669</w:t>
            </w:r>
          </w:p>
        </w:tc>
      </w:tr>
      <w:tr>
        <w:trPr>
          <w:trHeight w:hRule="atLeast" w:val="450"/>
          <w:cantSplit w:val="off"/>
        </w:trPr>
        <w:tc>
          <w:tcPr>
            <w:tcBorders/>
            <w:shd w:fill="auto"/>
            <w:tcW w:type="dxa" w:w="6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</w:rPr>
              <w:t>На№</w:t>
            </w:r>
          </w:p>
        </w:tc>
        <w:tc>
          <w:tcPr>
            <w:tcBorders>
              <w:bottom w:color="00000A" w:space="0" w:sz="4" w:val="single"/>
            </w:tcBorders>
            <w:shd w:fill="auto"/>
            <w:tcW w:type="dxa" w:w="182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rFonts w:ascii="Times New Roman" w:hAnsi="Times New Roman"/>
              </w:rPr>
            </w:r>
          </w:p>
        </w:tc>
        <w:tc>
          <w:tcPr>
            <w:tcBorders/>
            <w:shd w:fill="auto"/>
            <w:tcW w:type="dxa" w:w="227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Borders>
              <w:bottom w:color="00000A" w:space="0" w:sz="4" w:val="single"/>
            </w:tcBorders>
            <w:shd w:fill="auto"/>
            <w:tcW w:type="dxa" w:w="410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0"/>
        <w:jc w:val="center"/>
        <w:spacing w:after="0" w:before="0" w:line="100" w:lineRule="atLeast"/>
      </w:pPr>
      <w:r>
        <w:rPr>
          <w:rFonts w:ascii="Times New Roman" w:hAnsi="Times New Roman"/>
        </w:rPr>
      </w:r>
    </w:p>
    <w:p>
      <w:pPr>
        <w:pStyle w:val="style36"/>
        <w:jc w:val="both"/>
      </w:pPr>
      <w:r>
        <w:rPr>
          <w:sz w:val="26"/>
          <w:szCs w:val="26"/>
          <w:rFonts w:ascii="Times New Roman" w:hAnsi="Times New Roman"/>
        </w:rPr>
        <w:t xml:space="preserve">Руководителям органов управления образованием муниципальных районов и городских округов  </w:t>
      </w:r>
    </w:p>
    <w:p>
      <w:pPr>
        <w:pStyle w:val="style36"/>
        <w:jc w:val="both"/>
      </w:pPr>
      <w:r>
        <w:rPr>
          <w:sz w:val="26"/>
          <w:szCs w:val="26"/>
          <w:rFonts w:ascii="Times New Roman" w:hAnsi="Times New Roman"/>
        </w:rPr>
      </w:r>
    </w:p>
    <w:p>
      <w:pPr>
        <w:pStyle w:val="style36"/>
        <w:jc w:val="both"/>
      </w:pPr>
      <w:r>
        <w:rPr>
          <w:sz w:val="26"/>
          <w:szCs w:val="26"/>
          <w:rFonts w:ascii="Times New Roman" w:hAnsi="Times New Roman"/>
        </w:rPr>
        <w:t xml:space="preserve">Руководителям муниципальных методических служб </w:t>
      </w:r>
    </w:p>
    <w:p>
      <w:pPr>
        <w:pStyle w:val="style36"/>
        <w:jc w:val="both"/>
      </w:pPr>
      <w:r>
        <w:rPr>
          <w:sz w:val="26"/>
          <w:szCs w:val="26"/>
          <w:rFonts w:ascii="Times New Roman" w:hAnsi="Times New Roman"/>
        </w:rPr>
      </w:r>
    </w:p>
    <w:p>
      <w:pPr>
        <w:pStyle w:val="style36"/>
        <w:jc w:val="both"/>
      </w:pPr>
      <w:r>
        <w:rPr>
          <w:sz w:val="26"/>
          <w:szCs w:val="26"/>
          <w:rFonts w:ascii="Times New Roman" w:hAnsi="Times New Roman"/>
        </w:rPr>
        <w:t>Руководителям образовательных организаций, подведомственных Департаменту образования области</w:t>
      </w:r>
    </w:p>
    <w:p>
      <w:pPr>
        <w:pStyle w:val="style36"/>
        <w:jc w:val="both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spacing w:after="0" w:before="0"/>
      </w:pPr>
      <w:r>
        <w:rPr>
          <w:sz w:val="26"/>
          <w:szCs w:val="26"/>
          <w:rFonts w:ascii="Times New Roman" w:hAnsi="Times New Roman"/>
        </w:rPr>
        <w:t xml:space="preserve">О проведении акции </w:t>
      </w:r>
      <w:r>
        <w:rPr>
          <w:sz w:val="26"/>
          <w:szCs w:val="26"/>
          <w:rFonts w:ascii="Times New Roman" w:hAnsi="Times New Roman"/>
          <w:lang w:eastAsia="ru-RU"/>
        </w:rPr>
        <w:t>«Береги сердце смолоду»</w:t>
      </w:r>
    </w:p>
    <w:p>
      <w:pPr>
        <w:pStyle w:val="style0"/>
        <w:ind w:firstLine="709" w:left="0" w:right="0"/>
        <w:spacing w:after="0" w:before="0"/>
      </w:pPr>
      <w:r>
        <w:rPr>
          <w:sz w:val="26"/>
          <w:szCs w:val="26"/>
          <w:rFonts w:ascii="Times New Roman" w:hAnsi="Times New Roman"/>
        </w:rPr>
      </w:r>
    </w:p>
    <w:p>
      <w:pPr>
        <w:pStyle w:val="style0"/>
        <w:jc w:val="center"/>
        <w:ind w:firstLine="709" w:left="0" w:right="0"/>
        <w:spacing w:after="0" w:before="0"/>
      </w:pPr>
      <w:r>
        <w:rPr>
          <w:sz w:val="26"/>
          <w:szCs w:val="26"/>
          <w:rFonts w:ascii="Times New Roman" w:hAnsi="Times New Roman"/>
        </w:rPr>
        <w:t xml:space="preserve">Уважаемые коллеги! </w:t>
      </w:r>
    </w:p>
    <w:p>
      <w:pPr>
        <w:pStyle w:val="style0"/>
        <w:jc w:val="center"/>
        <w:ind w:firstLine="709" w:left="0" w:right="0"/>
        <w:spacing w:after="0" w:before="0"/>
      </w:pPr>
      <w:r>
        <w:rPr>
          <w:sz w:val="26"/>
          <w:szCs w:val="26"/>
          <w:rFonts w:ascii="Times New Roman" w:hAnsi="Times New Roman"/>
        </w:rPr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6"/>
          <w:szCs w:val="26"/>
          <w:rFonts w:ascii="Times New Roman" w:hAnsi="Times New Roman"/>
          <w:lang w:eastAsia="ru-RU"/>
        </w:rPr>
        <w:t>Информируем Вас о проведении с марта по октябрь 2015 года акции «Береги сердце смолоду» в рамках объявленного Президентом Российской Федерации В.В. Путиным Национального года борьбы с сердечно-сосудистыми заболеваниями в 2015 году.</w:t>
      </w:r>
    </w:p>
    <w:p>
      <w:pPr>
        <w:pStyle w:val="style39"/>
        <w:jc w:val="both"/>
        <w:ind w:firstLine="709" w:left="0" w:right="0"/>
        <w:shd w:fill="FFFFFF"/>
        <w:spacing w:after="28" w:before="28"/>
      </w:pPr>
      <w:r>
        <w:rPr>
          <w:color w:val="000000"/>
          <w:sz w:val="26"/>
          <w:szCs w:val="26"/>
          <w:rFonts w:ascii="Times New Roman" w:hAnsi="Times New Roman"/>
        </w:rPr>
        <w:t xml:space="preserve">В соответствии с рекомендациями по организации и проведению акции в образовательных организациях области необходимо провести мероприятия, направленные на привлечение внимания обучающихся, их родителей и работников образовательных организаций к проблеме сердечно-сосудистых заболеваний, повышение их информированности о факторах риска и способах профилактики. </w:t>
      </w:r>
    </w:p>
    <w:p>
      <w:pPr>
        <w:pStyle w:val="style39"/>
        <w:jc w:val="both"/>
        <w:ind w:firstLine="709" w:left="0" w:right="0"/>
        <w:shd w:fill="FFFFFF"/>
        <w:spacing w:after="28" w:before="28"/>
      </w:pPr>
      <w:r>
        <w:rPr>
          <w:color w:val="000000"/>
          <w:sz w:val="26"/>
          <w:szCs w:val="26"/>
          <w:rFonts w:ascii="Times New Roman" w:hAnsi="Times New Roman"/>
        </w:rPr>
        <w:t>Информационно-методические материалы</w:t>
      </w:r>
      <w:r>
        <w:rPr>
          <w:sz w:val="26"/>
          <w:szCs w:val="26"/>
          <w:rFonts w:ascii="Times New Roman" w:hAnsi="Times New Roman"/>
        </w:rPr>
        <w:t xml:space="preserve"> для проведения мероприятий акции размещены </w:t>
      </w:r>
      <w:r>
        <w:rPr>
          <w:color w:val="000000"/>
          <w:sz w:val="26"/>
          <w:szCs w:val="26"/>
          <w:rFonts w:ascii="Times New Roman" w:hAnsi="Times New Roman"/>
        </w:rPr>
        <w:t>на сайте АОУ ВО ДПО «ВИРО» в разделе «</w:t>
      </w:r>
      <w:r>
        <w:rPr>
          <w:sz w:val="26"/>
          <w:szCs w:val="26"/>
          <w:rFonts w:ascii="Times New Roman" w:hAnsi="Times New Roman"/>
        </w:rPr>
        <w:t>Национальный год борьбы с сердечно-сосудистыми заболеваниями» (баннер слева).</w:t>
      </w:r>
    </w:p>
    <w:p>
      <w:pPr>
        <w:pStyle w:val="style0"/>
        <w:jc w:val="both"/>
        <w:spacing w:after="0" w:before="0" w:line="100" w:lineRule="atLeast"/>
      </w:pPr>
      <w:r>
        <w:rPr>
          <w:sz w:val="26"/>
          <w:szCs w:val="26"/>
          <w:rFonts w:ascii="Times New Roman" w:hAnsi="Times New Roman"/>
          <w:lang w:eastAsia="ru-RU"/>
        </w:rPr>
        <w:tab/>
        <w:t xml:space="preserve">Контактное лицо - методист лаборатории воспитания и социализации Моисеева Ирина Викторовна, тел. (8172)75 04 18, электронный адрес: </w:t>
      </w:r>
      <w:r>
        <w:rPr>
          <w:rStyle w:val="style27"/>
          <w:color w:val="000000"/>
          <w:sz w:val="26"/>
          <w:szCs w:val="26"/>
          <w:rFonts w:ascii="Times New Roman" w:hAnsi="Times New Roman"/>
        </w:rPr>
        <w:t>viro-cp@yandex.ru.</w:t>
      </w:r>
    </w:p>
    <w:p>
      <w:pPr>
        <w:pStyle w:val="style39"/>
        <w:jc w:val="both"/>
        <w:shd w:fill="FFFFFF"/>
        <w:spacing w:after="28" w:before="28"/>
      </w:pPr>
      <w:r>
        <w:rPr>
          <w:color w:val="000000"/>
          <w:sz w:val="26"/>
          <w:szCs w:val="26"/>
          <w:rFonts w:ascii="Times New Roman" w:hAnsi="Times New Roman"/>
        </w:rPr>
      </w:r>
    </w:p>
    <w:p>
      <w:pPr>
        <w:pStyle w:val="style39"/>
        <w:jc w:val="both"/>
        <w:shd w:fill="FFFFFF"/>
        <w:spacing w:after="28" w:before="0"/>
      </w:pPr>
      <w:r>
        <w:rPr>
          <w:color w:val="000000"/>
          <w:sz w:val="26"/>
          <w:szCs w:val="26"/>
          <w:rFonts w:ascii="Times New Roman" w:hAnsi="Times New Roman"/>
        </w:rPr>
        <w:t>Ректор                                                                                                                    Г.А. Краюшкина</w:t>
        <w:pict>
          <v:shapetype id="shapetype_75" coordsize="21600,21600" o:spt="75" adj="2700" path="m,l21600,l21600,21600l,21600xm@0@0l@0@2l@1@2l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0"/>
            </v:handles>
          </v:shapetype>
          <v:shape id="shape_2098252" style="position:absolute;margin-left:239.55pt;margin-top:6.55pt;width:61.05pt;height:64pt" type="shapetype_75">
            <w10:wrap w10:type="none"/>
            <v:fill detectmouseclick="t"/>
            <v:stroke color="black" joinstyle="round"/>
          </v:shape>
        </w:pict>
      </w:r>
    </w:p>
    <w:p>
      <w:pPr>
        <w:pStyle w:val="style39"/>
        <w:jc w:val="center"/>
        <w:shd w:fill="FFFFFF"/>
        <w:spacing w:after="28" w:before="28"/>
      </w:pPr>
      <w:r>
        <w:rPr>
          <w:color w:val="000000"/>
          <w:sz w:val="22"/>
          <w:szCs w:val="22"/>
          <w:rFonts w:ascii="Times New Roman" w:hAnsi="Times New Roman"/>
        </w:rPr>
      </w:r>
    </w:p>
    <w:p>
      <w:pPr>
        <w:pStyle w:val="style39"/>
        <w:jc w:val="both"/>
        <w:shd w:fill="FFFFFF"/>
        <w:spacing w:after="28" w:before="28"/>
      </w:pPr>
      <w:r>
        <w:rPr>
          <w:color w:val="000000"/>
          <w:sz w:val="22"/>
          <w:szCs w:val="22"/>
          <w:rFonts w:ascii="Times New Roman" w:hAnsi="Times New Roman"/>
        </w:rPr>
      </w:r>
    </w:p>
    <w:p>
      <w:pPr>
        <w:pStyle w:val="style0"/>
        <w:jc w:val="right"/>
        <w:ind w:hanging="0" w:left="0" w:right="0"/>
        <w:spacing w:after="0" w:before="0" w:line="100" w:lineRule="atLeast"/>
      </w:pPr>
      <w:r>
        <w:rPr>
          <w:sz w:val="26"/>
          <w:szCs w:val="26"/>
          <w:rFonts w:ascii="Times New Roman" w:hAnsi="Times New Roman"/>
        </w:rPr>
        <w:t>Приложение 1</w:t>
      </w:r>
    </w:p>
    <w:p>
      <w:pPr>
        <w:pStyle w:val="style0"/>
        <w:jc w:val="both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center"/>
        <w:ind w:firstLine="709" w:left="0" w:right="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>Рекомендации</w:t>
      </w:r>
    </w:p>
    <w:p>
      <w:pPr>
        <w:pStyle w:val="style0"/>
        <w:jc w:val="center"/>
        <w:ind w:firstLine="709" w:left="0" w:right="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>по организации и проведению акции «Береги сердце смолоду»</w:t>
      </w:r>
    </w:p>
    <w:p>
      <w:pPr>
        <w:pStyle w:val="style0"/>
        <w:jc w:val="center"/>
        <w:ind w:firstLine="709" w:left="0" w:right="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 xml:space="preserve">в рамках Национального года борьбы с сердечно-сосудистыми заболеваниями </w:t>
      </w:r>
    </w:p>
    <w:p>
      <w:pPr>
        <w:pStyle w:val="style0"/>
        <w:jc w:val="center"/>
        <w:ind w:firstLine="709" w:left="0" w:right="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ind w:firstLine="709" w:left="0" w:right="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>1. Обоснование проведения акции</w:t>
      </w:r>
    </w:p>
    <w:p>
      <w:pPr>
        <w:pStyle w:val="style0"/>
        <w:jc w:val="both"/>
        <w:ind w:firstLine="709" w:left="0" w:right="0"/>
        <w:shd w:fill="FFFFFF"/>
        <w:spacing w:after="0" w:before="0" w:line="360" w:lineRule="atLeast"/>
      </w:pPr>
      <w:r>
        <w:rPr>
          <w:sz w:val="28"/>
          <w:szCs w:val="28"/>
          <w:rFonts w:ascii="Times New Roman" w:eastAsia="Times New Roman" w:hAnsi="Times New Roman"/>
          <w:lang w:eastAsia="ru-RU"/>
        </w:rPr>
      </w:r>
    </w:p>
    <w:p>
      <w:pPr>
        <w:pStyle w:val="style0"/>
        <w:jc w:val="both"/>
        <w:ind w:firstLine="709" w:left="0" w:right="0"/>
        <w:shd w:fill="FFFFFF"/>
        <w:spacing w:after="0" w:before="0" w:line="360" w:lineRule="atLeast"/>
      </w:pPr>
      <w:r>
        <w:rPr>
          <w:sz w:val="28"/>
          <w:szCs w:val="28"/>
          <w:rFonts w:ascii="Times New Roman" w:eastAsia="Times New Roman" w:hAnsi="Times New Roman"/>
          <w:lang w:eastAsia="ru-RU"/>
        </w:rPr>
        <w:t>В послании Федеральному собранию Президент Российской Федерации                    В.В. Путин отметил, что Россия впервые вошла в рейтинг ВОЗ как благоприятная страна со средней продолжительностью жизни более 70 лет. "Считаю, что у нас есть все основания уже в ближайшей перспективе увеличить среднюю продолжительность жизни до 74 лет, добиться новой, качественной динамики в снижении смертности", - подчеркнул он.</w:t>
      </w:r>
    </w:p>
    <w:p>
      <w:pPr>
        <w:pStyle w:val="style0"/>
        <w:jc w:val="both"/>
        <w:ind w:firstLine="709" w:left="0" w:right="0"/>
        <w:shd w:fill="FFFFFF"/>
        <w:spacing w:after="0" w:before="0" w:line="360" w:lineRule="atLeast"/>
      </w:pPr>
      <w:r>
        <w:rPr>
          <w:sz w:val="28"/>
          <w:szCs w:val="28"/>
          <w:rFonts w:ascii="Times New Roman" w:eastAsia="Times New Roman" w:hAnsi="Times New Roman"/>
          <w:lang w:eastAsia="ru-RU"/>
        </w:rPr>
        <w:t>В этой связи В.В. Путин предложил "объявить 2015 год Национальным годом борьбы с сердечно-сосудистыми заболеваниями, которые являются основной причиной смертности сегодня, объединив для решения этой проблемы усилия медицинских работников, представителей культуры, образования, СМИ, общественных и спортивных организаций".</w:t>
      </w:r>
    </w:p>
    <w:p>
      <w:pPr>
        <w:pStyle w:val="style0"/>
        <w:jc w:val="both"/>
        <w:ind w:firstLine="709" w:left="0" w:right="0"/>
        <w:shd w:fill="FFFFFF"/>
        <w:spacing w:after="0" w:before="0" w:line="360" w:lineRule="atLeast"/>
      </w:pPr>
      <w:r>
        <w:rPr>
          <w:sz w:val="28"/>
          <w:szCs w:val="28"/>
          <w:rFonts w:ascii="Times New Roman" w:eastAsia="Times New Roman" w:hAnsi="Times New Roman"/>
          <w:lang w:eastAsia="ru-RU"/>
        </w:rPr>
        <w:t>Главным фактором снижения уровня сердечно-сосудистых заболеваний, по мнению Юрия Беленкова, академика Российской академии медицинских наук,   является здоровый образ жизни.  "Вопрос снижения распространенности сердечно-сосудистых заболеваний - не столько медицинский, сколько вопрос общества", - сказал Ю. Беленков. Важным, считает он, остается пропаганда здорового образа жизни.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>2. Цели, задачи  и сроки проведения акции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Целью  акции «Береги сердце смолоду», проводимой в рамках Национального года борьбы с сердечно-сосудистыми заболеваниями (ССЗ), является организация деятельности, направленной на профилактику ССЗ и формирование здорового образа жизни всех участников образовательных отношений.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Задачами акции являются: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привлечение внимания обучающихся, их родителей и работников образовательных организаций к проблеме увеличения смертности от ССЗ;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повышение информированности о факторах риска сердечно-сосудистых заболеваний, способах профилактики, источниках получения информации по проблеме;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вовлечение всех участников образовательных отношений в активную деятельность по предупреждению ССЗ в образовательной среде.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пропаганда преимуществ здорового и безопасного образа жизни и формирование  моды на здоровый образ жизни;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активизация межведомственного взаимодействия в области профилактики ССЗ.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Время проведения акции: март-октябрь  2015 года.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ind w:firstLine="709" w:left="0" w:right="0"/>
        <w:spacing w:after="0" w:before="0" w:line="482" w:lineRule="exact"/>
      </w:pPr>
      <w:r>
        <w:rPr>
          <w:sz w:val="28"/>
          <w:b/>
          <w:szCs w:val="28"/>
          <w:rFonts w:ascii="Times New Roman" w:hAnsi="Times New Roman"/>
        </w:rPr>
        <w:t xml:space="preserve">3. Организация и  проведение акции </w:t>
      </w:r>
    </w:p>
    <w:p>
      <w:pPr>
        <w:pStyle w:val="style0"/>
        <w:jc w:val="both"/>
        <w:ind w:firstLine="709" w:left="0" w:right="0"/>
        <w:spacing w:after="0" w:before="0" w:line="482" w:lineRule="exact"/>
      </w:pPr>
      <w:r>
        <w:rPr>
          <w:sz w:val="28"/>
          <w:b/>
          <w:szCs w:val="28"/>
          <w:rFonts w:ascii="Times New Roman" w:eastAsia="Times New Roman" w:hAnsi="Times New Roman"/>
        </w:rPr>
      </w:r>
    </w:p>
    <w:p>
      <w:pPr>
        <w:pStyle w:val="style0"/>
        <w:numPr>
          <w:ilvl w:val="0"/>
          <w:numId w:val="2"/>
        </w:numPr>
        <w:jc w:val="both"/>
        <w:tabs>
          <w:tab w:leader="none" w:pos="706" w:val="left"/>
        </w:tabs>
        <w:spacing w:after="0" w:before="0" w:line="100" w:lineRule="atLeast"/>
      </w:pPr>
      <w:r>
        <w:rPr>
          <w:sz w:val="28"/>
          <w:szCs w:val="28"/>
          <w:rFonts w:ascii="Times New Roman" w:eastAsia="Times New Roman" w:hAnsi="Times New Roman"/>
        </w:rPr>
        <w:t>Подготовка информационных материалов по профилактике ССЗ и пропаганде здорового и безопасного образа жизни, в том числе буклетов, брошюр, рекомендаций для размещения на официальных сайтах образовательных организаций.</w:t>
      </w:r>
    </w:p>
    <w:p>
      <w:pPr>
        <w:pStyle w:val="style0"/>
        <w:numPr>
          <w:ilvl w:val="0"/>
          <w:numId w:val="2"/>
        </w:numPr>
        <w:jc w:val="both"/>
        <w:tabs>
          <w:tab w:leader="none" w:pos="706" w:val="left"/>
        </w:tabs>
        <w:spacing w:after="0" w:before="0" w:line="100" w:lineRule="atLeast"/>
      </w:pPr>
      <w:r>
        <w:rPr>
          <w:sz w:val="28"/>
          <w:szCs w:val="28"/>
          <w:rFonts w:ascii="Times New Roman" w:eastAsia="Times New Roman" w:hAnsi="Times New Roman"/>
        </w:rPr>
        <w:t>Организация и проведение интерактивных занятий для обучающихся, их родителей, работников образовательных организаций по проблематике сердечно-сосудистых заболеваний (с привлечением врачей терапевтов, врачей общей практики, врачей кардиологов и школьных медицинских работников).</w:t>
      </w:r>
    </w:p>
    <w:p>
      <w:pPr>
        <w:pStyle w:val="style0"/>
        <w:numPr>
          <w:ilvl w:val="0"/>
          <w:numId w:val="2"/>
        </w:numPr>
        <w:jc w:val="both"/>
        <w:tabs>
          <w:tab w:leader="none" w:pos="698" w:val="left"/>
        </w:tabs>
        <w:spacing w:after="0" w:before="0" w:line="100" w:lineRule="atLeast"/>
      </w:pPr>
      <w:r>
        <w:rPr>
          <w:sz w:val="28"/>
          <w:szCs w:val="28"/>
          <w:rFonts w:ascii="Times New Roman" w:eastAsia="Times New Roman" w:hAnsi="Times New Roman"/>
        </w:rPr>
        <w:t>Проведение тематических родительских собраний по вопросам профилактики ССЗ и формирования культуры здорового образа жизни.</w:t>
      </w:r>
    </w:p>
    <w:p>
      <w:pPr>
        <w:pStyle w:val="style0"/>
        <w:numPr>
          <w:ilvl w:val="0"/>
          <w:numId w:val="2"/>
        </w:numPr>
        <w:jc w:val="both"/>
        <w:tabs>
          <w:tab w:leader="none" w:pos="698" w:val="left"/>
        </w:tabs>
        <w:spacing w:after="0" w:before="0" w:line="100" w:lineRule="atLeast"/>
      </w:pPr>
      <w:r>
        <w:rPr>
          <w:sz w:val="28"/>
          <w:szCs w:val="28"/>
          <w:rFonts w:ascii="Times New Roman" w:eastAsia="Times New Roman" w:hAnsi="Times New Roman"/>
        </w:rPr>
        <w:t>Формирование актива из числа наиболее подготовленных обучающихся и родителей, проведение с ними специальных мероприятий (лекций, семинаров) с целью обучения навыкам профилактики ССЗ, пропаганды здорового и безопасного образа жизни, формирования культуры здорового образа жизни.</w:t>
      </w:r>
    </w:p>
    <w:p>
      <w:pPr>
        <w:pStyle w:val="style0"/>
        <w:numPr>
          <w:ilvl w:val="0"/>
          <w:numId w:val="2"/>
        </w:numPr>
        <w:jc w:val="both"/>
        <w:tabs>
          <w:tab w:leader="none" w:pos="698" w:val="left"/>
        </w:tabs>
        <w:spacing w:after="0" w:before="0" w:line="100" w:lineRule="atLeast"/>
      </w:pPr>
      <w:r>
        <w:rPr>
          <w:sz w:val="28"/>
          <w:szCs w:val="28"/>
          <w:rFonts w:ascii="Times New Roman" w:eastAsia="Times New Roman" w:hAnsi="Times New Roman"/>
        </w:rPr>
        <w:t>Организация, в том числе силами обучающихся при участии родителей, работников образовательных организаций, культурно-досуговых, спортивно-массовых и иных мероприятий, направленных на пропаганду здорового и безопасного образа жизни, профилактику ССЗ  и неприятие рискованного поведения.</w:t>
      </w:r>
    </w:p>
    <w:p>
      <w:pPr>
        <w:pStyle w:val="style41"/>
        <w:numPr>
          <w:ilvl w:val="0"/>
          <w:numId w:val="2"/>
        </w:numPr>
        <w:tabs>
          <w:tab w:leader="none" w:pos="-284" w:val="left"/>
        </w:tabs>
        <w:spacing w:line="100" w:lineRule="atLeast"/>
      </w:pPr>
      <w:r>
        <w:rPr>
          <w:sz w:val="28"/>
          <w:szCs w:val="28"/>
          <w:rFonts w:ascii="Times New Roman" w:hAnsi="Times New Roman"/>
        </w:rPr>
        <w:t>Распространение среди обучающихся, их родителей и работников образовательных организаций информации о возможности консультирования по вопросам профилактики ССЗ.</w:t>
      </w:r>
    </w:p>
    <w:p>
      <w:pPr>
        <w:pStyle w:val="style41"/>
        <w:numPr>
          <w:ilvl w:val="0"/>
          <w:numId w:val="2"/>
        </w:numPr>
        <w:tabs>
          <w:tab w:leader="none" w:pos="0" w:val="left"/>
          <w:tab w:leader="none" w:pos="567" w:val="left"/>
        </w:tabs>
        <w:spacing w:line="100" w:lineRule="atLeast"/>
      </w:pPr>
      <w:r>
        <w:rPr>
          <w:sz w:val="28"/>
          <w:szCs w:val="28"/>
          <w:rFonts w:ascii="Times New Roman" w:hAnsi="Times New Roman"/>
        </w:rPr>
        <w:t>Организация межведомственного взаимодействия по обеспечению условий для работы Школ здоровья в образовательных организациях области по реализации  мероприятий в рамках Национального года борьбы с сердечно- сосудистыми заболеваниями.</w:t>
      </w:r>
    </w:p>
    <w:p>
      <w:pPr>
        <w:pStyle w:val="style41"/>
        <w:numPr>
          <w:ilvl w:val="0"/>
          <w:numId w:val="2"/>
        </w:numPr>
        <w:tabs>
          <w:tab w:leader="none" w:pos="0" w:val="left"/>
          <w:tab w:leader="none" w:pos="567" w:val="left"/>
        </w:tabs>
        <w:spacing w:line="100" w:lineRule="atLeast"/>
      </w:pPr>
      <w:r>
        <w:rPr>
          <w:sz w:val="28"/>
          <w:szCs w:val="28"/>
          <w:rFonts w:ascii="Times New Roman" w:hAnsi="Times New Roman"/>
        </w:rPr>
        <w:t>Организация и проведение Урока здоровья «Учимся питаться правильно» в  рамках Всемирного дня здоровья 7 апреля.</w:t>
      </w:r>
    </w:p>
    <w:p>
      <w:pPr>
        <w:pStyle w:val="style41"/>
        <w:tabs>
          <w:tab w:leader="none" w:pos="709" w:val="left"/>
        </w:tabs>
        <w:ind w:hanging="709" w:left="709" w:right="0"/>
        <w:spacing w:line="100" w:lineRule="atLeast"/>
      </w:pPr>
      <w:r>
        <w:rPr/>
      </w:r>
    </w:p>
    <w:p>
      <w:pPr>
        <w:pStyle w:val="style0"/>
        <w:jc w:val="both"/>
        <w:tabs>
          <w:tab w:leader="none" w:pos="0" w:val="left"/>
        </w:tabs>
        <w:ind w:hanging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tabs>
          <w:tab w:leader="none" w:pos="0" w:val="left"/>
        </w:tabs>
        <w:ind w:hanging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tabs>
          <w:tab w:leader="none" w:pos="0" w:val="left"/>
        </w:tabs>
        <w:ind w:hanging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tabs>
          <w:tab w:leader="none" w:pos="0" w:val="left"/>
        </w:tabs>
        <w:ind w:hanging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134" w:right="567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Times New Roman" w:eastAsia="Calibri" w:hAnsi="Calibri"/>
      <w:lang w:bidi="ar-SA" w:eastAsia="en-US" w:val="ru-RU"/>
    </w:rPr>
  </w:style>
  <w:style w:styleId="style1" w:type="paragraph">
    <w:name w:val="Заголовок 1"/>
    <w:basedOn w:val="style0"/>
    <w:next w:val="style32"/>
    <w:pPr>
      <w:keepNext/>
      <w:spacing w:after="60" w:before="240"/>
    </w:pPr>
    <w:rPr>
      <w:sz w:val="32"/>
      <w:b/>
      <w:szCs w:val="32"/>
      <w:bCs/>
      <w:rFonts w:ascii="Cambria" w:eastAsia="Times New Roman" w:hAnsi="Cambria"/>
    </w:rPr>
  </w:style>
  <w:style w:styleId="style2" w:type="paragraph">
    <w:name w:val="Заголовок 2"/>
    <w:basedOn w:val="style0"/>
    <w:next w:val="style32"/>
    <w:pPr>
      <w:outlineLvl w:val="1"/>
      <w:numPr>
        <w:ilvl w:val="1"/>
        <w:numId w:val="1"/>
      </w:numPr>
      <w:keepNext/>
      <w:spacing w:after="0" w:before="200"/>
    </w:pPr>
    <w:rPr>
      <w:color w:val="4F81BD"/>
      <w:sz w:val="26"/>
      <w:b/>
      <w:szCs w:val="26"/>
      <w:bCs/>
      <w:rFonts w:ascii="Cambria" w:hAnsi="Cambria"/>
      <w:lang w:eastAsia="ru-RU"/>
    </w:rPr>
  </w:style>
  <w:style w:styleId="style4" w:type="paragraph">
    <w:name w:val="Заголовок 4"/>
    <w:basedOn w:val="style0"/>
    <w:next w:val="style32"/>
    <w:pPr>
      <w:outlineLvl w:val="3"/>
      <w:numPr>
        <w:ilvl w:val="3"/>
        <w:numId w:val="1"/>
      </w:numPr>
      <w:spacing w:after="28" w:before="28" w:line="100" w:lineRule="atLeast"/>
    </w:pPr>
    <w:rPr>
      <w:sz w:val="24"/>
      <w:b/>
      <w:szCs w:val="24"/>
      <w:bCs/>
      <w:rFonts w:ascii="Times New Roman" w:hAnsi="Times New Roman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next w:val="style16"/>
    <w:rPr/>
  </w:style>
  <w:style w:styleId="style17" w:type="character">
    <w:name w:val="Заголовок 2 Знак"/>
    <w:next w:val="style17"/>
    <w:rPr/>
  </w:style>
  <w:style w:styleId="style18" w:type="character">
    <w:name w:val="Заголовок 4 Знак"/>
    <w:next w:val="style18"/>
    <w:rPr/>
  </w:style>
  <w:style w:styleId="style19" w:type="character">
    <w:name w:val="Интернет-ссылка"/>
    <w:next w:val="style19"/>
    <w:rPr>
      <w:color w:val="0000FF"/>
      <w:u w:val="single"/>
      <w:rFonts w:cs="Times New Roman"/>
      <w:lang w:bidi="ru-RU" w:eastAsia="ru-RU" w:val="ru-RU"/>
    </w:rPr>
  </w:style>
  <w:style w:styleId="style20" w:type="character">
    <w:name w:val="Текст Знак"/>
    <w:next w:val="style20"/>
    <w:rPr/>
  </w:style>
  <w:style w:styleId="style21" w:type="character">
    <w:name w:val="Выделение жирным"/>
    <w:next w:val="style21"/>
    <w:rPr>
      <w:b/>
      <w:bCs/>
      <w:rFonts w:cs="Times New Roman"/>
    </w:rPr>
  </w:style>
  <w:style w:styleId="style22" w:type="character">
    <w:name w:val="Текст выноски Знак"/>
    <w:next w:val="style22"/>
    <w:rPr/>
  </w:style>
  <w:style w:styleId="style23" w:type="character">
    <w:name w:val="apple-converted-space"/>
    <w:next w:val="style23"/>
    <w:rPr/>
  </w:style>
  <w:style w:styleId="style24" w:type="character">
    <w:name w:val="ref-info"/>
    <w:next w:val="style24"/>
    <w:rPr/>
  </w:style>
  <w:style w:styleId="style25" w:type="character">
    <w:name w:val="noprint"/>
    <w:next w:val="style25"/>
    <w:rPr/>
  </w:style>
  <w:style w:styleId="style26" w:type="character">
    <w:name w:val="CharStyle10"/>
    <w:next w:val="style26"/>
    <w:rPr/>
  </w:style>
  <w:style w:styleId="style27" w:type="character">
    <w:name w:val="js-messages-title-dropdown-name"/>
    <w:next w:val="style27"/>
    <w:rPr/>
  </w:style>
  <w:style w:styleId="style28" w:type="character">
    <w:name w:val="ListLabel 1"/>
    <w:next w:val="style28"/>
    <w:rPr>
      <w:sz w:val="28"/>
      <w:rFonts w:cs="Times New Roman"/>
    </w:rPr>
  </w:style>
  <w:style w:styleId="style29" w:type="character">
    <w:name w:val="ListLabel 2"/>
    <w:next w:val="style29"/>
    <w:rPr>
      <w:rFonts w:cs="Times New Roman"/>
    </w:rPr>
  </w:style>
  <w:style w:styleId="style30" w:type="character">
    <w:name w:val="ListLabel 3"/>
    <w:next w:val="style30"/>
    <w:rPr>
      <w:sz w:val="20"/>
    </w:rPr>
  </w:style>
  <w:style w:styleId="style31" w:type="paragraph">
    <w:name w:val="Заголовок"/>
    <w:basedOn w:val="style0"/>
    <w:next w:val="style32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32" w:type="paragraph">
    <w:name w:val="Основной текст"/>
    <w:basedOn w:val="style0"/>
    <w:next w:val="style32"/>
    <w:pPr>
      <w:spacing w:after="120" w:before="0"/>
    </w:pPr>
    <w:rPr/>
  </w:style>
  <w:style w:styleId="style33" w:type="paragraph">
    <w:name w:val="Список"/>
    <w:basedOn w:val="style32"/>
    <w:next w:val="style33"/>
    <w:pPr/>
    <w:rPr>
      <w:rFonts w:ascii="Arial" w:cs="Mangal" w:hAnsi="Ari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35" w:type="paragraph">
    <w:name w:val="Указатель"/>
    <w:basedOn w:val="style0"/>
    <w:next w:val="style35"/>
    <w:pPr>
      <w:suppressLineNumbers/>
    </w:pPr>
    <w:rPr>
      <w:rFonts w:ascii="Arial" w:cs="Mangal" w:hAnsi="Arial"/>
    </w:rPr>
  </w:style>
  <w:style w:styleId="style36" w:type="paragraph">
    <w:name w:val="Plain Text"/>
    <w:basedOn w:val="style0"/>
    <w:next w:val="style36"/>
    <w:pPr/>
    <w:rPr/>
  </w:style>
  <w:style w:styleId="style37" w:type="paragraph">
    <w:name w:val="List Paragraph"/>
    <w:basedOn w:val="style0"/>
    <w:next w:val="style37"/>
    <w:pPr/>
    <w:rPr/>
  </w:style>
  <w:style w:styleId="style38" w:type="paragraph">
    <w:name w:val="Balloon Text"/>
    <w:basedOn w:val="style0"/>
    <w:next w:val="style38"/>
    <w:pPr/>
    <w:rPr/>
  </w:style>
  <w:style w:styleId="style39" w:type="paragraph">
    <w:name w:val="western"/>
    <w:basedOn w:val="style0"/>
    <w:next w:val="style39"/>
    <w:pPr/>
    <w:rPr/>
  </w:style>
  <w:style w:styleId="style40" w:type="paragraph">
    <w:name w:val="Normal (Web)"/>
    <w:basedOn w:val="style0"/>
    <w:next w:val="style40"/>
    <w:pPr/>
    <w:rPr/>
  </w:style>
  <w:style w:styleId="style41" w:type="paragraph">
    <w:name w:val="Style85"/>
    <w:basedOn w:val="style0"/>
    <w:next w:val="style4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ro-vologda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2013-10-04T07:51:00.00Z</dcterms:created>
  <dc:creator>специалист</dc:creator>
  <cp:lastModifiedBy>Воронин</cp:lastModifiedBy>
  <cp:lastPrinted>2015-03-24T06:33:00.00Z</cp:lastPrinted>
  <dcterms:modified xsi:type="dcterms:W3CDTF">2015-03-31T11:05:00.00Z</dcterms:modified>
  <cp:revision>85</cp:revision>
</cp:coreProperties>
</file>